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0B" w:rsidRDefault="00724521" w:rsidP="007E6819">
      <w:pPr>
        <w:tabs>
          <w:tab w:val="left" w:pos="4820"/>
        </w:tabs>
        <w:ind w:left="5103" w:right="283"/>
        <w:jc w:val="both"/>
        <w:rPr>
          <w:sz w:val="28"/>
        </w:rPr>
      </w:pPr>
      <w:r>
        <w:rPr>
          <w:sz w:val="28"/>
        </w:rPr>
        <w:t>Приложение</w:t>
      </w:r>
      <w:r w:rsidR="007E6819">
        <w:rPr>
          <w:sz w:val="28"/>
        </w:rPr>
        <w:t xml:space="preserve"> № 1</w:t>
      </w:r>
    </w:p>
    <w:p w:rsidR="003A390B" w:rsidRDefault="003A390B" w:rsidP="00885FB6">
      <w:pPr>
        <w:tabs>
          <w:tab w:val="left" w:pos="5954"/>
        </w:tabs>
        <w:ind w:left="5954" w:right="283"/>
        <w:jc w:val="both"/>
        <w:rPr>
          <w:sz w:val="28"/>
        </w:rPr>
      </w:pPr>
    </w:p>
    <w:p w:rsidR="003A390B" w:rsidRDefault="00724521" w:rsidP="007E6819">
      <w:pPr>
        <w:ind w:left="5103" w:right="283"/>
        <w:jc w:val="both"/>
        <w:rPr>
          <w:sz w:val="28"/>
        </w:rPr>
      </w:pPr>
      <w:r>
        <w:rPr>
          <w:sz w:val="28"/>
        </w:rPr>
        <w:t>УТВЕРЖДЕН</w:t>
      </w:r>
      <w:r w:rsidR="00AA3C1F">
        <w:rPr>
          <w:sz w:val="28"/>
        </w:rPr>
        <w:t>Ы</w:t>
      </w:r>
    </w:p>
    <w:p w:rsidR="00885FB6" w:rsidRDefault="00885FB6" w:rsidP="00885FB6">
      <w:pPr>
        <w:tabs>
          <w:tab w:val="left" w:pos="5954"/>
        </w:tabs>
        <w:ind w:left="5954" w:right="283"/>
        <w:jc w:val="both"/>
        <w:rPr>
          <w:sz w:val="28"/>
        </w:rPr>
      </w:pPr>
    </w:p>
    <w:p w:rsidR="003A390B" w:rsidRDefault="007E6819" w:rsidP="007E6819">
      <w:pPr>
        <w:tabs>
          <w:tab w:val="left" w:pos="5103"/>
        </w:tabs>
        <w:ind w:left="5103" w:right="284"/>
        <w:rPr>
          <w:sz w:val="28"/>
        </w:rPr>
      </w:pPr>
      <w:r>
        <w:rPr>
          <w:sz w:val="28"/>
        </w:rPr>
        <w:t>постановлением Правительства Кировской области</w:t>
      </w:r>
    </w:p>
    <w:p w:rsidR="00FD3C4D" w:rsidRDefault="00FD3C4D" w:rsidP="007E6819">
      <w:pPr>
        <w:tabs>
          <w:tab w:val="left" w:pos="5103"/>
        </w:tabs>
        <w:ind w:left="5103" w:right="284"/>
        <w:rPr>
          <w:sz w:val="28"/>
        </w:rPr>
      </w:pPr>
      <w:r>
        <w:rPr>
          <w:sz w:val="28"/>
        </w:rPr>
        <w:t xml:space="preserve">от </w:t>
      </w:r>
      <w:r w:rsidR="009A3F79">
        <w:rPr>
          <w:sz w:val="28"/>
        </w:rPr>
        <w:t>01.08.2025</w:t>
      </w:r>
      <w:r>
        <w:rPr>
          <w:sz w:val="28"/>
        </w:rPr>
        <w:t xml:space="preserve">    № </w:t>
      </w:r>
      <w:r w:rsidR="009A3F79">
        <w:rPr>
          <w:sz w:val="28"/>
        </w:rPr>
        <w:t>416-П</w:t>
      </w:r>
      <w:bookmarkStart w:id="0" w:name="_GoBack"/>
      <w:bookmarkEnd w:id="0"/>
      <w:r>
        <w:rPr>
          <w:sz w:val="28"/>
        </w:rPr>
        <w:t xml:space="preserve"> </w:t>
      </w:r>
    </w:p>
    <w:p w:rsidR="007E6819" w:rsidRPr="007E6819" w:rsidRDefault="007E6819" w:rsidP="0046022B">
      <w:pPr>
        <w:spacing w:before="720"/>
        <w:jc w:val="center"/>
        <w:rPr>
          <w:b/>
          <w:sz w:val="28"/>
          <w:szCs w:val="28"/>
        </w:rPr>
      </w:pPr>
      <w:r w:rsidRPr="007E6819">
        <w:rPr>
          <w:b/>
          <w:sz w:val="28"/>
          <w:szCs w:val="28"/>
        </w:rPr>
        <w:t>ИЗМЕНЕНИ</w:t>
      </w:r>
      <w:r w:rsidR="00080845">
        <w:rPr>
          <w:b/>
          <w:sz w:val="28"/>
          <w:szCs w:val="28"/>
        </w:rPr>
        <w:t>Я</w:t>
      </w:r>
    </w:p>
    <w:p w:rsidR="007E6819" w:rsidRDefault="007E6819" w:rsidP="00080845">
      <w:pPr>
        <w:spacing w:after="480"/>
        <w:jc w:val="center"/>
        <w:rPr>
          <w:b/>
          <w:sz w:val="28"/>
        </w:rPr>
      </w:pPr>
      <w:r w:rsidRPr="007E6819">
        <w:rPr>
          <w:b/>
          <w:sz w:val="28"/>
          <w:szCs w:val="28"/>
        </w:rPr>
        <w:t xml:space="preserve">в Положении о </w:t>
      </w:r>
      <w:r w:rsidRPr="007E6819">
        <w:rPr>
          <w:b/>
          <w:sz w:val="28"/>
        </w:rPr>
        <w:t xml:space="preserve">региональном государственном контроле (надзоре) </w:t>
      </w:r>
      <w:r w:rsidR="00A3687E">
        <w:rPr>
          <w:b/>
          <w:sz w:val="28"/>
        </w:rPr>
        <w:br/>
      </w:r>
      <w:r w:rsidRPr="007E6819">
        <w:rPr>
          <w:b/>
          <w:sz w:val="28"/>
        </w:rPr>
        <w:t>в сфере туристской индустрии на территории Кировской области</w:t>
      </w:r>
    </w:p>
    <w:p w:rsidR="004C073C" w:rsidRDefault="004C073C" w:rsidP="00AA3C1F">
      <w:pPr>
        <w:pStyle w:val="af7"/>
        <w:spacing w:before="0" w:beforeAutospacing="0" w:after="0" w:afterAutospacing="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F966DC">
        <w:rPr>
          <w:sz w:val="28"/>
          <w:szCs w:val="28"/>
        </w:rPr>
        <w:t xml:space="preserve">абзаце </w:t>
      </w:r>
      <w:r w:rsidR="00116636">
        <w:rPr>
          <w:sz w:val="28"/>
          <w:szCs w:val="28"/>
        </w:rPr>
        <w:t>третьем</w:t>
      </w:r>
      <w:r w:rsidR="00F966D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F966DC">
        <w:rPr>
          <w:sz w:val="28"/>
          <w:szCs w:val="28"/>
        </w:rPr>
        <w:t>а</w:t>
      </w:r>
      <w:r>
        <w:rPr>
          <w:sz w:val="28"/>
          <w:szCs w:val="28"/>
        </w:rPr>
        <w:t xml:space="preserve"> 1.8 раздела 1 «Общие положения» слова «органами исполнительной власти Кировской области» заменить словами «исполнительными органами Кировской области».</w:t>
      </w:r>
    </w:p>
    <w:p w:rsidR="00AA3C1F" w:rsidRPr="00AA3C1F" w:rsidRDefault="004C073C" w:rsidP="00AA3C1F">
      <w:pPr>
        <w:pStyle w:val="af7"/>
        <w:spacing w:before="0" w:beforeAutospacing="0" w:after="0" w:afterAutospacing="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687E" w:rsidRPr="00AA3C1F">
        <w:rPr>
          <w:sz w:val="28"/>
          <w:szCs w:val="28"/>
        </w:rPr>
        <w:t>.</w:t>
      </w:r>
      <w:r w:rsidR="00C12EB3" w:rsidRPr="00AA3C1F">
        <w:rPr>
          <w:sz w:val="28"/>
          <w:szCs w:val="28"/>
        </w:rPr>
        <w:t xml:space="preserve"> </w:t>
      </w:r>
      <w:r w:rsidR="00AA3C1F" w:rsidRPr="00AA3C1F">
        <w:rPr>
          <w:sz w:val="28"/>
          <w:szCs w:val="28"/>
        </w:rPr>
        <w:t>В разделе 6 «Результаты контрольного (надзорного) мероприятия»:</w:t>
      </w:r>
    </w:p>
    <w:p w:rsidR="004A11FA" w:rsidRPr="004A11FA" w:rsidRDefault="004C073C" w:rsidP="004A11FA">
      <w:pPr>
        <w:pStyle w:val="af7"/>
        <w:spacing w:before="0" w:beforeAutospacing="0" w:after="0" w:afterAutospacing="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C1F" w:rsidRPr="004A11FA">
        <w:rPr>
          <w:sz w:val="28"/>
          <w:szCs w:val="28"/>
        </w:rPr>
        <w:t>.1. Пункт</w:t>
      </w:r>
      <w:r w:rsidR="004A11FA" w:rsidRPr="004A11FA">
        <w:rPr>
          <w:sz w:val="28"/>
          <w:szCs w:val="28"/>
        </w:rPr>
        <w:t xml:space="preserve">ы 6.2 и </w:t>
      </w:r>
      <w:r w:rsidR="00AA3C1F" w:rsidRPr="004A11FA">
        <w:rPr>
          <w:sz w:val="28"/>
          <w:szCs w:val="28"/>
        </w:rPr>
        <w:t>6.3 изложить в следующей редакции:</w:t>
      </w:r>
    </w:p>
    <w:p w:rsidR="004A11FA" w:rsidRPr="004A11FA" w:rsidRDefault="004A11FA" w:rsidP="004A11FA">
      <w:pPr>
        <w:pStyle w:val="af7"/>
        <w:spacing w:before="0" w:beforeAutospacing="0" w:after="0" w:afterAutospacing="0" w:line="440" w:lineRule="exact"/>
        <w:ind w:firstLine="709"/>
        <w:jc w:val="both"/>
        <w:rPr>
          <w:color w:val="000000" w:themeColor="text1"/>
          <w:sz w:val="28"/>
          <w:szCs w:val="28"/>
        </w:rPr>
      </w:pPr>
      <w:r w:rsidRPr="004A11FA">
        <w:rPr>
          <w:color w:val="000000" w:themeColor="text1"/>
          <w:sz w:val="28"/>
          <w:szCs w:val="28"/>
        </w:rPr>
        <w:t xml:space="preserve">«6.2. По результатам контрольных (надзорных) мероприятий, указанных </w:t>
      </w:r>
      <w:r w:rsidR="006C04C6">
        <w:rPr>
          <w:color w:val="000000" w:themeColor="text1"/>
          <w:sz w:val="28"/>
          <w:szCs w:val="28"/>
        </w:rPr>
        <w:br/>
      </w:r>
      <w:r w:rsidRPr="004A11FA">
        <w:rPr>
          <w:color w:val="000000" w:themeColor="text1"/>
          <w:sz w:val="28"/>
          <w:szCs w:val="28"/>
        </w:rPr>
        <w:t xml:space="preserve">в </w:t>
      </w:r>
      <w:hyperlink r:id="rId8" w:history="1">
        <w:r w:rsidRPr="004A11FA"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абзацах</w:t>
        </w:r>
      </w:hyperlink>
      <w:r w:rsidRPr="004A11FA">
        <w:rPr>
          <w:color w:val="000000" w:themeColor="text1"/>
          <w:sz w:val="28"/>
          <w:szCs w:val="28"/>
        </w:rPr>
        <w:t xml:space="preserve"> втором и </w:t>
      </w:r>
      <w:hyperlink r:id="rId9" w:history="1">
        <w:r w:rsidRPr="004A11FA"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третьем</w:t>
        </w:r>
      </w:hyperlink>
      <w:r w:rsidRPr="004A11FA">
        <w:rPr>
          <w:color w:val="000000" w:themeColor="text1"/>
          <w:sz w:val="28"/>
          <w:szCs w:val="28"/>
        </w:rPr>
        <w:t xml:space="preserve"> пункта 4.11 настоящего Положения, акт контрольного (надзорного) мероприятия составляется в течение пяти рабочих дней со дня завершения такого контрольного (надзорного) мероприятия.</w:t>
      </w:r>
    </w:p>
    <w:p w:rsidR="00AA3C1F" w:rsidRPr="00AA3C1F" w:rsidRDefault="004A11FA" w:rsidP="00AA3C1F">
      <w:pPr>
        <w:pStyle w:val="af7"/>
        <w:spacing w:before="0" w:beforeAutospacing="0" w:after="0" w:afterAutospacing="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 w:rsidR="00AA3C1F" w:rsidRPr="00AA3C1F">
        <w:rPr>
          <w:color w:val="000000" w:themeColor="text1"/>
          <w:sz w:val="28"/>
          <w:szCs w:val="28"/>
        </w:rPr>
        <w:t xml:space="preserve">По результатам контрольных (надзорных) мероприятий, указанных в </w:t>
      </w:r>
      <w:hyperlink r:id="rId10" w:history="1">
        <w:r w:rsidR="00AA3C1F" w:rsidRPr="00AA3C1F"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 xml:space="preserve">абзацах </w:t>
        </w:r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четвертом</w:t>
        </w:r>
      </w:hyperlink>
      <w:r w:rsidR="00AA3C1F" w:rsidRPr="00AA3C1F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пятом</w:t>
      </w:r>
      <w:hyperlink r:id="rId11" w:history="1">
        <w:r>
          <w:t xml:space="preserve"> </w:t>
        </w:r>
        <w:r w:rsidR="00AA3C1F" w:rsidRPr="00AA3C1F"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пункта 4.11</w:t>
        </w:r>
      </w:hyperlink>
      <w:r w:rsidR="00AA3C1F" w:rsidRPr="00AA3C1F">
        <w:rPr>
          <w:color w:val="000000" w:themeColor="text1"/>
          <w:sz w:val="28"/>
          <w:szCs w:val="28"/>
        </w:rPr>
        <w:t xml:space="preserve"> настоящего Положения, оформление акта контрольного (надзорного) мероприятия</w:t>
      </w:r>
      <w:r w:rsidR="00AA3C1F" w:rsidRPr="00AA3C1F">
        <w:rPr>
          <w:sz w:val="28"/>
          <w:szCs w:val="28"/>
        </w:rPr>
        <w:t xml:space="preserve"> производится на месте проведения контрольного (надзорного) мероприятия в день окончания проведения такого мероприятия</w:t>
      </w:r>
      <w:r w:rsidR="00AA3C1F">
        <w:rPr>
          <w:sz w:val="28"/>
          <w:szCs w:val="28"/>
        </w:rPr>
        <w:t xml:space="preserve"> </w:t>
      </w:r>
      <w:r w:rsidR="00AA3C1F" w:rsidRPr="00080845">
        <w:rPr>
          <w:sz w:val="28"/>
          <w:szCs w:val="28"/>
        </w:rPr>
        <w:t xml:space="preserve"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</w:t>
      </w:r>
      <w:r w:rsidR="00F1258B">
        <w:rPr>
          <w:sz w:val="28"/>
          <w:szCs w:val="28"/>
        </w:rPr>
        <w:t>Федеральным законом от 31.07.2020</w:t>
      </w:r>
      <w:proofErr w:type="gramEnd"/>
      <w:r w:rsidR="00F1258B">
        <w:rPr>
          <w:sz w:val="28"/>
          <w:szCs w:val="28"/>
        </w:rPr>
        <w:t xml:space="preserve"> № 248-ФЗ</w:t>
      </w:r>
      <w:r w:rsidR="00AA3C1F" w:rsidRPr="00AA3C1F">
        <w:rPr>
          <w:sz w:val="28"/>
          <w:szCs w:val="28"/>
        </w:rPr>
        <w:t xml:space="preserve">, если иной порядок оформления указанного акта не установлен </w:t>
      </w:r>
      <w:r w:rsidR="006C04C6">
        <w:rPr>
          <w:sz w:val="28"/>
          <w:szCs w:val="28"/>
        </w:rPr>
        <w:t xml:space="preserve">Федеральным законом </w:t>
      </w:r>
      <w:r w:rsidR="001D28CF">
        <w:rPr>
          <w:sz w:val="28"/>
          <w:szCs w:val="28"/>
        </w:rPr>
        <w:t>от 31.07.2020 № 248-ФЗ</w:t>
      </w:r>
      <w:r w:rsidR="00AA3C1F" w:rsidRPr="00080845">
        <w:rPr>
          <w:sz w:val="28"/>
          <w:szCs w:val="28"/>
        </w:rPr>
        <w:t xml:space="preserve"> или</w:t>
      </w:r>
      <w:r w:rsidR="00AA3C1F" w:rsidRPr="00AA3C1F">
        <w:rPr>
          <w:sz w:val="28"/>
          <w:szCs w:val="28"/>
        </w:rPr>
        <w:t xml:space="preserve"> Прав</w:t>
      </w:r>
      <w:r>
        <w:rPr>
          <w:sz w:val="28"/>
          <w:szCs w:val="28"/>
        </w:rPr>
        <w:t>ительством Российской Федерации</w:t>
      </w:r>
      <w:r w:rsidR="00AA3C1F" w:rsidRPr="00AA3C1F">
        <w:rPr>
          <w:sz w:val="28"/>
          <w:szCs w:val="28"/>
        </w:rPr>
        <w:t>»</w:t>
      </w:r>
      <w:r w:rsidR="00AA3C1F">
        <w:rPr>
          <w:sz w:val="28"/>
          <w:szCs w:val="28"/>
        </w:rPr>
        <w:t>.</w:t>
      </w:r>
    </w:p>
    <w:p w:rsidR="00080845" w:rsidRPr="00080845" w:rsidRDefault="004C073C" w:rsidP="00AA3C1F">
      <w:pPr>
        <w:pStyle w:val="af7"/>
        <w:spacing w:before="0" w:beforeAutospacing="0" w:after="0" w:afterAutospacing="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C1F">
        <w:rPr>
          <w:sz w:val="28"/>
          <w:szCs w:val="28"/>
        </w:rPr>
        <w:t>.</w:t>
      </w:r>
      <w:r w:rsidR="004F26CD" w:rsidRPr="00080845">
        <w:rPr>
          <w:sz w:val="28"/>
          <w:szCs w:val="28"/>
        </w:rPr>
        <w:t>2. Пункт 6.6 дополнить абзацем следующего содержания:</w:t>
      </w:r>
    </w:p>
    <w:p w:rsidR="009C75CB" w:rsidRDefault="004F26CD" w:rsidP="009C75CB">
      <w:pPr>
        <w:pStyle w:val="af7"/>
        <w:spacing w:before="0" w:beforeAutospacing="0" w:after="0" w:afterAutospacing="0" w:line="440" w:lineRule="exact"/>
        <w:ind w:firstLine="709"/>
        <w:jc w:val="both"/>
        <w:rPr>
          <w:sz w:val="28"/>
          <w:szCs w:val="28"/>
        </w:rPr>
      </w:pPr>
      <w:r w:rsidRPr="00AA3C1F">
        <w:rPr>
          <w:sz w:val="28"/>
          <w:szCs w:val="28"/>
        </w:rPr>
        <w:t xml:space="preserve">«В случае выявления нарушений обязательных требований </w:t>
      </w:r>
      <w:r w:rsidR="00080845" w:rsidRPr="00AA3C1F">
        <w:rPr>
          <w:sz w:val="28"/>
          <w:szCs w:val="28"/>
        </w:rPr>
        <w:br/>
      </w:r>
      <w:r w:rsidRPr="00AA3C1F">
        <w:rPr>
          <w:sz w:val="28"/>
          <w:szCs w:val="28"/>
        </w:rPr>
        <w:t xml:space="preserve">по результатам проведения контрольного (надзорного) мероприятия </w:t>
      </w:r>
      <w:r w:rsidR="00080845" w:rsidRPr="00AA3C1F">
        <w:rPr>
          <w:sz w:val="28"/>
          <w:szCs w:val="28"/>
        </w:rPr>
        <w:br/>
      </w:r>
      <w:r w:rsidRPr="00AA3C1F">
        <w:rPr>
          <w:sz w:val="28"/>
          <w:szCs w:val="28"/>
        </w:rPr>
        <w:lastRenderedPageBreak/>
        <w:t>без взаимодействия</w:t>
      </w:r>
      <w:r w:rsidR="009C75CB">
        <w:rPr>
          <w:sz w:val="28"/>
          <w:szCs w:val="28"/>
        </w:rPr>
        <w:t xml:space="preserve"> с контролируемым лицом </w:t>
      </w:r>
      <w:r w:rsidRPr="00AA3C1F">
        <w:rPr>
          <w:sz w:val="28"/>
          <w:szCs w:val="28"/>
        </w:rPr>
        <w:t>составляется акт</w:t>
      </w:r>
      <w:r w:rsidR="00080845" w:rsidRPr="00AA3C1F">
        <w:rPr>
          <w:sz w:val="28"/>
          <w:szCs w:val="28"/>
        </w:rPr>
        <w:t xml:space="preserve"> </w:t>
      </w:r>
      <w:r w:rsidRPr="00AA3C1F">
        <w:rPr>
          <w:sz w:val="28"/>
          <w:szCs w:val="28"/>
        </w:rPr>
        <w:t>контрольного (надзорного) мероприятия»</w:t>
      </w:r>
      <w:r w:rsidR="00080845" w:rsidRPr="00AA3C1F">
        <w:rPr>
          <w:sz w:val="28"/>
          <w:szCs w:val="28"/>
        </w:rPr>
        <w:t>.</w:t>
      </w:r>
    </w:p>
    <w:p w:rsidR="003A390B" w:rsidRPr="00AA3C1F" w:rsidRDefault="004C073C" w:rsidP="006852F1">
      <w:pPr>
        <w:pStyle w:val="af7"/>
        <w:spacing w:before="0" w:beforeAutospacing="0" w:after="720" w:afterAutospacing="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6CD" w:rsidRPr="00AA3C1F">
        <w:rPr>
          <w:sz w:val="28"/>
          <w:szCs w:val="28"/>
        </w:rPr>
        <w:t xml:space="preserve">. </w:t>
      </w:r>
      <w:r w:rsidR="00A3687E" w:rsidRPr="00AA3C1F">
        <w:rPr>
          <w:sz w:val="28"/>
          <w:szCs w:val="28"/>
        </w:rPr>
        <w:t xml:space="preserve">В пункте 7.12 раздела 7 </w:t>
      </w:r>
      <w:r w:rsidR="00AA3C1F" w:rsidRPr="00AA3C1F">
        <w:rPr>
          <w:sz w:val="28"/>
          <w:szCs w:val="28"/>
        </w:rPr>
        <w:t>«</w:t>
      </w:r>
      <w:r w:rsidR="00AA3C1F" w:rsidRPr="00AA3C1F">
        <w:rPr>
          <w:bCs/>
          <w:sz w:val="28"/>
          <w:szCs w:val="28"/>
        </w:rPr>
        <w:t xml:space="preserve">Досудебный порядок подачи жалобы» </w:t>
      </w:r>
      <w:r w:rsidR="00890C72">
        <w:rPr>
          <w:bCs/>
          <w:sz w:val="28"/>
          <w:szCs w:val="28"/>
        </w:rPr>
        <w:br/>
      </w:r>
      <w:r w:rsidR="00A3687E" w:rsidRPr="00AA3C1F">
        <w:rPr>
          <w:sz w:val="28"/>
          <w:szCs w:val="28"/>
        </w:rPr>
        <w:t xml:space="preserve">слова «в течение двадцати рабочих дней со дня ее регистрации» заменить словами «в течение пятнадцати рабочих дней со дня ее регистрации </w:t>
      </w:r>
      <w:r w:rsidR="00890C72">
        <w:rPr>
          <w:sz w:val="28"/>
          <w:szCs w:val="28"/>
        </w:rPr>
        <w:br/>
      </w:r>
      <w:r w:rsidR="00A3687E" w:rsidRPr="00AA3C1F">
        <w:rPr>
          <w:sz w:val="28"/>
          <w:szCs w:val="28"/>
        </w:rPr>
        <w:t>в подсистеме досудебного обжалования».</w:t>
      </w:r>
    </w:p>
    <w:p w:rsidR="003A390B" w:rsidRDefault="00724521" w:rsidP="00002842">
      <w:pPr>
        <w:pStyle w:val="af4"/>
        <w:tabs>
          <w:tab w:val="left" w:pos="-567"/>
        </w:tabs>
        <w:spacing w:line="360" w:lineRule="auto"/>
        <w:ind w:left="0" w:hanging="567"/>
        <w:jc w:val="center"/>
      </w:pPr>
      <w:r>
        <w:rPr>
          <w:sz w:val="28"/>
          <w:szCs w:val="28"/>
        </w:rPr>
        <w:t>_________</w:t>
      </w:r>
    </w:p>
    <w:sectPr w:rsidR="003A390B" w:rsidSect="00A71DDA">
      <w:headerReference w:type="default" r:id="rId12"/>
      <w:headerReference w:type="first" r:id="rId13"/>
      <w:footerReference w:type="first" r:id="rId14"/>
      <w:pgSz w:w="11906" w:h="16838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77" w:rsidRDefault="00D45677">
      <w:r>
        <w:separator/>
      </w:r>
    </w:p>
  </w:endnote>
  <w:endnote w:type="continuationSeparator" w:id="0">
    <w:p w:rsidR="00D45677" w:rsidRDefault="00D4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21" w:rsidRDefault="00724521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77" w:rsidRDefault="00D45677">
      <w:r>
        <w:separator/>
      </w:r>
    </w:p>
  </w:footnote>
  <w:footnote w:type="continuationSeparator" w:id="0">
    <w:p w:rsidR="00D45677" w:rsidRDefault="00D45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21" w:rsidRDefault="00D45677">
    <w:pPr>
      <w:pStyle w:val="1"/>
      <w:jc w:val="center"/>
    </w:pPr>
    <w:r>
      <w:fldChar w:fldCharType="begin"/>
    </w:r>
    <w:r>
      <w:instrText>PAGE \* MERGEFORMAT</w:instrText>
    </w:r>
    <w:r>
      <w:fldChar w:fldCharType="separate"/>
    </w:r>
    <w:r w:rsidR="009A3F79">
      <w:rPr>
        <w:noProof/>
      </w:rPr>
      <w:t>2</w:t>
    </w:r>
    <w:r>
      <w:rPr>
        <w:noProof/>
      </w:rPr>
      <w:fldChar w:fldCharType="end"/>
    </w:r>
  </w:p>
  <w:p w:rsidR="00724521" w:rsidRDefault="00724521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21" w:rsidRDefault="00724521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3401"/>
    <w:multiLevelType w:val="hybridMultilevel"/>
    <w:tmpl w:val="A7E8F5EE"/>
    <w:lvl w:ilvl="0" w:tplc="3B243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8E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25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23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C3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C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0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ED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14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56C6F"/>
    <w:multiLevelType w:val="hybridMultilevel"/>
    <w:tmpl w:val="44C24300"/>
    <w:lvl w:ilvl="0" w:tplc="BA2A8B9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5EF2F2EA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A3708C72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8370E6B6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85768138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C1D0FD78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71D469C0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81F4D6C0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3BDA7022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90B"/>
    <w:rsid w:val="00002842"/>
    <w:rsid w:val="00080845"/>
    <w:rsid w:val="00085A6E"/>
    <w:rsid w:val="00093E20"/>
    <w:rsid w:val="000A1286"/>
    <w:rsid w:val="000D0ACF"/>
    <w:rsid w:val="00116636"/>
    <w:rsid w:val="00182152"/>
    <w:rsid w:val="001A2269"/>
    <w:rsid w:val="001B33E4"/>
    <w:rsid w:val="001D28CF"/>
    <w:rsid w:val="00313598"/>
    <w:rsid w:val="0036127A"/>
    <w:rsid w:val="00372212"/>
    <w:rsid w:val="003A390B"/>
    <w:rsid w:val="003B55B5"/>
    <w:rsid w:val="003D5AE7"/>
    <w:rsid w:val="004157FF"/>
    <w:rsid w:val="0046022B"/>
    <w:rsid w:val="004A11FA"/>
    <w:rsid w:val="004C073C"/>
    <w:rsid w:val="004C7530"/>
    <w:rsid w:val="004D3DA7"/>
    <w:rsid w:val="004F26CD"/>
    <w:rsid w:val="006516B7"/>
    <w:rsid w:val="006852F1"/>
    <w:rsid w:val="006C04C6"/>
    <w:rsid w:val="006D46D8"/>
    <w:rsid w:val="007074BE"/>
    <w:rsid w:val="00724521"/>
    <w:rsid w:val="007E6819"/>
    <w:rsid w:val="0083125C"/>
    <w:rsid w:val="00851F5E"/>
    <w:rsid w:val="00885FB6"/>
    <w:rsid w:val="00890C72"/>
    <w:rsid w:val="009A3F79"/>
    <w:rsid w:val="009C453F"/>
    <w:rsid w:val="009C75CB"/>
    <w:rsid w:val="00A3687E"/>
    <w:rsid w:val="00A71DDA"/>
    <w:rsid w:val="00A75636"/>
    <w:rsid w:val="00AA087E"/>
    <w:rsid w:val="00AA3C1F"/>
    <w:rsid w:val="00AC74E4"/>
    <w:rsid w:val="00AD17E7"/>
    <w:rsid w:val="00AD1FC9"/>
    <w:rsid w:val="00B3473E"/>
    <w:rsid w:val="00B43365"/>
    <w:rsid w:val="00BE49EB"/>
    <w:rsid w:val="00C12EB3"/>
    <w:rsid w:val="00C66467"/>
    <w:rsid w:val="00C668FA"/>
    <w:rsid w:val="00D45677"/>
    <w:rsid w:val="00D706C6"/>
    <w:rsid w:val="00DA1A0F"/>
    <w:rsid w:val="00E312CD"/>
    <w:rsid w:val="00E728C5"/>
    <w:rsid w:val="00E9127F"/>
    <w:rsid w:val="00EB60C3"/>
    <w:rsid w:val="00EC3D99"/>
    <w:rsid w:val="00F04CB3"/>
    <w:rsid w:val="00F1258B"/>
    <w:rsid w:val="00F34DC6"/>
    <w:rsid w:val="00F763A9"/>
    <w:rsid w:val="00F93C4B"/>
    <w:rsid w:val="00F966DC"/>
    <w:rsid w:val="00FB1324"/>
    <w:rsid w:val="00FD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0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A39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A390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A39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A390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A39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A390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A39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A390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A390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A390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A39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3A390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A39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3A39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A39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3A390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A39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A390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A390B"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A390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A390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A390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39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A390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A390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A39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A390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A390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3A390B"/>
  </w:style>
  <w:style w:type="paragraph" w:customStyle="1" w:styleId="10">
    <w:name w:val="Нижний колонтитул1"/>
    <w:basedOn w:val="a"/>
    <w:link w:val="CaptionChar"/>
    <w:uiPriority w:val="99"/>
    <w:unhideWhenUsed/>
    <w:rsid w:val="003A390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A390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A39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A390B"/>
  </w:style>
  <w:style w:type="table" w:styleId="aa">
    <w:name w:val="Table Grid"/>
    <w:basedOn w:val="a1"/>
    <w:uiPriority w:val="59"/>
    <w:rsid w:val="003A390B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A390B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390B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3A390B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390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39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A390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A390B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A390B"/>
    <w:rPr>
      <w:sz w:val="18"/>
    </w:rPr>
  </w:style>
  <w:style w:type="character" w:styleId="ae">
    <w:name w:val="footnote reference"/>
    <w:basedOn w:val="a0"/>
    <w:uiPriority w:val="99"/>
    <w:unhideWhenUsed/>
    <w:rsid w:val="003A390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A390B"/>
  </w:style>
  <w:style w:type="character" w:customStyle="1" w:styleId="af0">
    <w:name w:val="Текст концевой сноски Знак"/>
    <w:link w:val="af"/>
    <w:uiPriority w:val="99"/>
    <w:rsid w:val="003A390B"/>
    <w:rPr>
      <w:sz w:val="20"/>
    </w:rPr>
  </w:style>
  <w:style w:type="character" w:styleId="af1">
    <w:name w:val="endnote reference"/>
    <w:basedOn w:val="a0"/>
    <w:uiPriority w:val="99"/>
    <w:semiHidden/>
    <w:unhideWhenUsed/>
    <w:rsid w:val="003A390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A390B"/>
    <w:pPr>
      <w:spacing w:after="57"/>
    </w:pPr>
  </w:style>
  <w:style w:type="paragraph" w:styleId="22">
    <w:name w:val="toc 2"/>
    <w:basedOn w:val="a"/>
    <w:next w:val="a"/>
    <w:uiPriority w:val="39"/>
    <w:unhideWhenUsed/>
    <w:rsid w:val="003A39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A39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A39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A39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A39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A39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A39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A390B"/>
    <w:pPr>
      <w:spacing w:after="57"/>
      <w:ind w:left="2268"/>
    </w:pPr>
  </w:style>
  <w:style w:type="paragraph" w:styleId="af2">
    <w:name w:val="TOC Heading"/>
    <w:uiPriority w:val="39"/>
    <w:unhideWhenUsed/>
    <w:rsid w:val="003A390B"/>
  </w:style>
  <w:style w:type="paragraph" w:styleId="af3">
    <w:name w:val="table of figures"/>
    <w:basedOn w:val="a"/>
    <w:next w:val="a"/>
    <w:uiPriority w:val="99"/>
    <w:unhideWhenUsed/>
    <w:rsid w:val="003A390B"/>
  </w:style>
  <w:style w:type="paragraph" w:styleId="af4">
    <w:name w:val="List Paragraph"/>
    <w:basedOn w:val="a"/>
    <w:uiPriority w:val="34"/>
    <w:qFormat/>
    <w:rsid w:val="003A390B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A39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39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A390B"/>
    <w:pPr>
      <w:widowControl w:val="0"/>
      <w:spacing w:line="240" w:lineRule="auto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3A390B"/>
    <w:rPr>
      <w:rFonts w:ascii="Calibri" w:eastAsia="Times New Roman" w:hAnsi="Calibri" w:cs="Times New Roman"/>
      <w:szCs w:val="20"/>
      <w:lang w:eastAsia="ru-RU"/>
    </w:rPr>
  </w:style>
  <w:style w:type="paragraph" w:styleId="af7">
    <w:name w:val="Normal (Web)"/>
    <w:basedOn w:val="a"/>
    <w:uiPriority w:val="99"/>
    <w:unhideWhenUsed/>
    <w:rsid w:val="00A368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3103&amp;dst=100126&amp;field=134&amp;date=04.06.2025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43103&amp;dst=100129&amp;field=134&amp;date=22.05.2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43103&amp;dst=100128&amp;field=134&amp;date=22.05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43103&amp;dst=100127&amp;field=134&amp;date=04.06.2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plusnina_aa</dc:creator>
  <cp:lastModifiedBy>Татьяна С. Гудовских</cp:lastModifiedBy>
  <cp:revision>21</cp:revision>
  <cp:lastPrinted>2025-07-30T12:52:00Z</cp:lastPrinted>
  <dcterms:created xsi:type="dcterms:W3CDTF">2025-05-21T08:00:00Z</dcterms:created>
  <dcterms:modified xsi:type="dcterms:W3CDTF">2025-08-04T10:57:00Z</dcterms:modified>
</cp:coreProperties>
</file>